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620"/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6"/>
        <w:gridCol w:w="6316"/>
        <w:gridCol w:w="1686"/>
      </w:tblGrid>
      <w:tr w:rsidR="00ED1A49" w:rsidTr="00ED1A49">
        <w:trPr>
          <w:trHeight w:val="367"/>
        </w:trPr>
        <w:tc>
          <w:tcPr>
            <w:tcW w:w="1656" w:type="dxa"/>
            <w:vMerge w:val="restart"/>
            <w:vAlign w:val="center"/>
          </w:tcPr>
          <w:p w:rsidR="00ED1A49" w:rsidRPr="00A17D22" w:rsidRDefault="00ED1A49" w:rsidP="00ED1A49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>
                  <wp:extent cx="895350" cy="895350"/>
                  <wp:effectExtent l="19050" t="0" r="0" b="0"/>
                  <wp:docPr id="4" name="Picture 1" descr="UNI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6" w:type="dxa"/>
            <w:shd w:val="clear" w:color="auto" w:fill="FFFFFF"/>
            <w:vAlign w:val="center"/>
          </w:tcPr>
          <w:p w:rsidR="00ED1A49" w:rsidRPr="004B02EB" w:rsidRDefault="00ED1A49" w:rsidP="00ED1A49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Универзитет у Нишу</w:t>
            </w:r>
          </w:p>
          <w:p w:rsidR="00ED1A49" w:rsidRPr="004B02EB" w:rsidRDefault="00ED1A49" w:rsidP="00ED1A49">
            <w:pPr>
              <w:pStyle w:val="Header"/>
              <w:jc w:val="center"/>
              <w:rPr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Филозофски факултет</w:t>
            </w:r>
          </w:p>
        </w:tc>
        <w:tc>
          <w:tcPr>
            <w:tcW w:w="1686" w:type="dxa"/>
            <w:vMerge w:val="restart"/>
            <w:vAlign w:val="center"/>
          </w:tcPr>
          <w:p w:rsidR="00ED1A49" w:rsidRDefault="00ED1A49" w:rsidP="00ED1A49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>
                  <wp:extent cx="914400" cy="914400"/>
                  <wp:effectExtent l="19050" t="0" r="0" b="0"/>
                  <wp:docPr id="3" name="Picture 2" descr="logo fakult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fakult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1A49" w:rsidTr="00ED1A49">
        <w:trPr>
          <w:trHeight w:val="467"/>
        </w:trPr>
        <w:tc>
          <w:tcPr>
            <w:tcW w:w="1656" w:type="dxa"/>
            <w:vMerge/>
          </w:tcPr>
          <w:p w:rsidR="00ED1A49" w:rsidRPr="00A17D22" w:rsidRDefault="00ED1A49" w:rsidP="00ED1A49">
            <w:pPr>
              <w:pStyle w:val="Header"/>
            </w:pPr>
          </w:p>
        </w:tc>
        <w:tc>
          <w:tcPr>
            <w:tcW w:w="6316" w:type="dxa"/>
            <w:shd w:val="clear" w:color="auto" w:fill="E6E6E6"/>
            <w:vAlign w:val="center"/>
          </w:tcPr>
          <w:p w:rsidR="00ED1A49" w:rsidRPr="00391375" w:rsidRDefault="00ED1A49" w:rsidP="00ED1A49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>
              <w:rPr>
                <w:b/>
                <w:color w:val="333399"/>
                <w:sz w:val="24"/>
                <w:szCs w:val="24"/>
                <w:lang w:val="sr-Cyrl-CS"/>
              </w:rPr>
              <w:t>Акредитација</w:t>
            </w:r>
            <w:r>
              <w:rPr>
                <w:b/>
                <w:color w:val="333399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color w:val="333399"/>
                <w:sz w:val="24"/>
                <w:szCs w:val="24"/>
              </w:rPr>
              <w:t>студијског програма</w:t>
            </w:r>
          </w:p>
        </w:tc>
        <w:tc>
          <w:tcPr>
            <w:tcW w:w="1686" w:type="dxa"/>
            <w:vMerge/>
          </w:tcPr>
          <w:p w:rsidR="00ED1A49" w:rsidRPr="004B02EB" w:rsidRDefault="00ED1A49" w:rsidP="00ED1A49">
            <w:pPr>
              <w:pStyle w:val="Header"/>
              <w:jc w:val="right"/>
              <w:rPr>
                <w:lang w:val="sr-Cyrl-CS"/>
              </w:rPr>
            </w:pPr>
          </w:p>
        </w:tc>
      </w:tr>
      <w:tr w:rsidR="00ED1A49" w:rsidRPr="00ED1A49" w:rsidTr="00ED1A49">
        <w:trPr>
          <w:trHeight w:val="449"/>
        </w:trPr>
        <w:tc>
          <w:tcPr>
            <w:tcW w:w="1656" w:type="dxa"/>
            <w:vMerge/>
          </w:tcPr>
          <w:p w:rsidR="00ED1A49" w:rsidRPr="00A17D22" w:rsidRDefault="00ED1A49" w:rsidP="00ED1A49">
            <w:pPr>
              <w:pStyle w:val="Header"/>
            </w:pPr>
          </w:p>
        </w:tc>
        <w:tc>
          <w:tcPr>
            <w:tcW w:w="6316" w:type="dxa"/>
            <w:shd w:val="clear" w:color="auto" w:fill="FFFFFF"/>
            <w:vAlign w:val="center"/>
          </w:tcPr>
          <w:p w:rsidR="00ED1A49" w:rsidRDefault="00ED1A49" w:rsidP="00ED1A49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>
              <w:rPr>
                <w:b/>
                <w:color w:val="333399"/>
                <w:sz w:val="24"/>
                <w:szCs w:val="24"/>
              </w:rPr>
              <w:t xml:space="preserve">Основне академске студије социјалне политике </w:t>
            </w:r>
          </w:p>
          <w:p w:rsidR="00ED1A49" w:rsidRPr="00B86DE3" w:rsidRDefault="00ED1A49" w:rsidP="00ED1A49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>
              <w:rPr>
                <w:b/>
                <w:color w:val="333399"/>
                <w:sz w:val="24"/>
                <w:szCs w:val="24"/>
              </w:rPr>
              <w:t>и социјалног рада</w:t>
            </w:r>
          </w:p>
        </w:tc>
        <w:tc>
          <w:tcPr>
            <w:tcW w:w="1686" w:type="dxa"/>
            <w:vMerge/>
          </w:tcPr>
          <w:p w:rsidR="00ED1A49" w:rsidRPr="004B02EB" w:rsidRDefault="00ED1A49" w:rsidP="00ED1A49">
            <w:pPr>
              <w:pStyle w:val="Header"/>
              <w:jc w:val="right"/>
              <w:rPr>
                <w:lang w:val="sr-Cyrl-CS"/>
              </w:rPr>
            </w:pPr>
          </w:p>
        </w:tc>
      </w:tr>
    </w:tbl>
    <w:p w:rsidR="00ED1A49" w:rsidRDefault="00ED1A49" w:rsidP="00ED1A49">
      <w:pPr>
        <w:pStyle w:val="Header"/>
        <w:jc w:val="center"/>
      </w:pPr>
      <w:r>
        <w:t xml:space="preserve">          </w:t>
      </w:r>
    </w:p>
    <w:p w:rsidR="003411FF" w:rsidRDefault="00235B50">
      <w:pPr>
        <w:pStyle w:val="Normal1"/>
        <w:jc w:val="center"/>
        <w:rPr>
          <w:lang w:val="sr-Cyrl-RS"/>
        </w:rPr>
      </w:pPr>
      <w:r>
        <w:rPr>
          <w:b/>
        </w:rPr>
        <w:t>Табела 5.2.</w:t>
      </w:r>
      <w:r>
        <w:t xml:space="preserve"> Спецификација предмета</w:t>
      </w:r>
    </w:p>
    <w:p w:rsidR="000E5217" w:rsidRPr="000E5217" w:rsidRDefault="000E5217">
      <w:pPr>
        <w:pStyle w:val="Normal1"/>
        <w:jc w:val="center"/>
        <w:rPr>
          <w:lang w:val="sr-Cyrl-RS"/>
        </w:rPr>
      </w:pP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Pr="00ED1A49" w:rsidRDefault="00235B50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</w:t>
            </w:r>
            <w:r>
              <w:t xml:space="preserve"> Основне академске студије соци</w:t>
            </w:r>
            <w:r w:rsidR="00ED1A49">
              <w:t>јалне политике и социјалног рада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Pr="000E5217" w:rsidRDefault="00235B50">
            <w:pPr>
              <w:pStyle w:val="Normal1"/>
              <w:tabs>
                <w:tab w:val="left" w:pos="567"/>
              </w:tabs>
              <w:spacing w:before="40" w:after="40"/>
              <w:rPr>
                <w:b/>
              </w:rPr>
            </w:pPr>
            <w:r w:rsidRPr="000E5217">
              <w:rPr>
                <w:b/>
              </w:rPr>
              <w:t>Назив предмета: Образовање и социјална селекција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Pr="00CC62C2" w:rsidRDefault="00235B50">
            <w:pPr>
              <w:pStyle w:val="Normal1"/>
              <w:tabs>
                <w:tab w:val="left" w:pos="567"/>
              </w:tabs>
              <w:spacing w:before="40" w:after="40"/>
              <w:rPr>
                <w:b/>
                <w:lang w:val="sr-Cyrl-RS"/>
              </w:rPr>
            </w:pPr>
            <w:r w:rsidRPr="000E5217">
              <w:rPr>
                <w:b/>
              </w:rPr>
              <w:t>Наставник/наставници: Јовановић В. Наталија</w:t>
            </w:r>
            <w:r w:rsidR="00CC62C2">
              <w:rPr>
                <w:b/>
                <w:lang w:val="sr-Cyrl-RS"/>
              </w:rPr>
              <w:t>; Лела Р. Милошевић Радуловић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Pr="00ED1A49" w:rsidRDefault="00235B50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 w:rsidR="00ED1A49">
              <w:t>обавезни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5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3411FF" w:rsidRDefault="0079747E" w:rsidP="0079747E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rPr>
                <w:lang w:val="sr-Cyrl-RS"/>
              </w:rPr>
              <w:t>Стицање знања</w:t>
            </w:r>
            <w:r w:rsidR="00E16A30">
              <w:rPr>
                <w:lang w:val="sr-Cyrl-RS"/>
              </w:rPr>
              <w:t xml:space="preserve"> о </w:t>
            </w:r>
            <w:r>
              <w:rPr>
                <w:lang w:val="sr-Cyrl-RS"/>
              </w:rPr>
              <w:t xml:space="preserve">социјалним </w:t>
            </w:r>
            <w:r w:rsidR="00235B50">
              <w:t>неједнакости</w:t>
            </w:r>
            <w:r w:rsidR="00E16A30">
              <w:rPr>
                <w:lang w:val="sr-Cyrl-RS"/>
              </w:rPr>
              <w:t xml:space="preserve">ма у образовању и </w:t>
            </w:r>
            <w:r w:rsidR="00235B50">
              <w:t>социјалн</w:t>
            </w:r>
            <w:r w:rsidR="00E16A30">
              <w:rPr>
                <w:lang w:val="sr-Cyrl-RS"/>
              </w:rPr>
              <w:t xml:space="preserve">ој </w:t>
            </w:r>
            <w:r w:rsidR="00235B50">
              <w:t>селекциј</w:t>
            </w:r>
            <w:r w:rsidR="00E16A30">
              <w:rPr>
                <w:lang w:val="sr-Cyrl-RS"/>
              </w:rPr>
              <w:t>и</w:t>
            </w:r>
            <w:r w:rsidR="00235B50">
              <w:t>; упознавање студената са најзначајнијим теоријама о друштвеним неједнакостима у образовању; упознавање са феноменом сиромаштв</w:t>
            </w:r>
            <w:r w:rsidR="00CC62C2">
              <w:t>а и последицама на образовање</w:t>
            </w:r>
            <w:r w:rsidR="00CC62C2">
              <w:rPr>
                <w:lang w:val="sr-Cyrl-RS"/>
              </w:rPr>
              <w:t>; у</w:t>
            </w:r>
            <w:r w:rsidR="00235B50">
              <w:t>познавање са социјалним чиниоцима малолетничке девијације и делинквенције, школским насиљем и мерама школске превенције и инклузијом.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3411FF" w:rsidRDefault="00235B50">
            <w:pPr>
              <w:pStyle w:val="Normal1"/>
              <w:tabs>
                <w:tab w:val="center" w:pos="4320"/>
                <w:tab w:val="right" w:pos="8640"/>
              </w:tabs>
            </w:pPr>
            <w:r>
              <w:t>Типично студент треба да</w:t>
            </w:r>
          </w:p>
          <w:p w:rsidR="003411FF" w:rsidRDefault="00235B50">
            <w:pPr>
              <w:pStyle w:val="Normal1"/>
              <w:numPr>
                <w:ilvl w:val="0"/>
                <w:numId w:val="1"/>
              </w:numPr>
            </w:pPr>
            <w:r>
              <w:t>Наведе, објасни и упореди важне теорије о социјалним неједнак</w:t>
            </w:r>
            <w:r w:rsidR="00EB4B89">
              <w:t>остима у образовању</w:t>
            </w:r>
          </w:p>
          <w:p w:rsidR="003411FF" w:rsidRDefault="00235B50">
            <w:pPr>
              <w:pStyle w:val="Normal1"/>
              <w:numPr>
                <w:ilvl w:val="0"/>
                <w:numId w:val="1"/>
              </w:numPr>
            </w:pPr>
            <w:r>
              <w:t>Опише утицај образовања на друштвену покретљивост и промену друштвеног статуса појединаца и професионалних друштвених група</w:t>
            </w:r>
          </w:p>
          <w:p w:rsidR="003411FF" w:rsidRDefault="00235B50">
            <w:pPr>
              <w:pStyle w:val="Normal1"/>
              <w:numPr>
                <w:ilvl w:val="0"/>
                <w:numId w:val="1"/>
              </w:numPr>
            </w:pPr>
            <w:r>
              <w:t>Објасни узроке и последице социјалних неједнакости у образовању и упореди различите механизме социјалне селекције у образовању</w:t>
            </w:r>
          </w:p>
          <w:p w:rsidR="003411FF" w:rsidRDefault="00235B50">
            <w:pPr>
              <w:pStyle w:val="Normal1"/>
              <w:numPr>
                <w:ilvl w:val="0"/>
                <w:numId w:val="1"/>
              </w:numPr>
            </w:pPr>
            <w:r>
              <w:t>Разуме сиромаштво, врсте сиромаштва и последице на образовна постигнућа и аспирације ученика</w:t>
            </w:r>
          </w:p>
          <w:p w:rsidR="003411FF" w:rsidRDefault="00EB4B89">
            <w:pPr>
              <w:pStyle w:val="Normal1"/>
              <w:numPr>
                <w:ilvl w:val="0"/>
                <w:numId w:val="1"/>
              </w:numPr>
              <w:jc w:val="both"/>
            </w:pPr>
            <w:r>
              <w:t>Д</w:t>
            </w:r>
            <w:r w:rsidR="00235B50">
              <w:t>изајнира лични досије ученика, демонстрира програм рада социолога као стручног сарадника у основној и средњој школи, познаје програме стручног усавршавања наставника</w:t>
            </w:r>
          </w:p>
          <w:p w:rsidR="003411FF" w:rsidRDefault="00235B50">
            <w:pPr>
              <w:pStyle w:val="Normal1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>
              <w:t>Објасни специфичности у раду са посебним категоријама ученика: даровити, ученици у стању социјане потребе, ученици са посебним потребама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3411FF" w:rsidRDefault="00235B50">
            <w:pPr>
              <w:pStyle w:val="Normal1"/>
              <w:tabs>
                <w:tab w:val="center" w:pos="4320"/>
                <w:tab w:val="right" w:pos="8640"/>
              </w:tabs>
            </w:pPr>
            <w:r>
              <w:rPr>
                <w:i/>
              </w:rPr>
              <w:t>Теоријска настава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Еволуција социјалног значаја образовања, промена улоге образовања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Др</w:t>
            </w:r>
            <w:r w:rsidR="00646C38">
              <w:t>уштвене структуре и образовање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Друштвена покретљивост и образовање; образовање и друштвене промене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Основне теорије о социјалним неједнакостима у образовању: радикална теорија, функционалистичка, интеракционистичка, Бернштајн</w:t>
            </w:r>
            <w:r w:rsidR="00EB4B89">
              <w:rPr>
                <w:lang w:val="sr-Cyrl-RS"/>
              </w:rPr>
              <w:t xml:space="preserve"> </w:t>
            </w:r>
            <w:r w:rsidR="00EB4B89">
              <w:t>–</w:t>
            </w:r>
            <w:r w:rsidR="00EB4B89">
              <w:rPr>
                <w:lang w:val="sr-Cyrl-RS"/>
              </w:rPr>
              <w:t xml:space="preserve"> </w:t>
            </w:r>
            <w:r>
              <w:t>језички кодови, Бурдије</w:t>
            </w:r>
            <w:r w:rsidR="00EB4B89">
              <w:rPr>
                <w:lang w:val="sr-Cyrl-RS"/>
              </w:rPr>
              <w:t xml:space="preserve"> </w:t>
            </w:r>
            <w:r w:rsidR="00EB4B89">
              <w:t>–</w:t>
            </w:r>
            <w:r w:rsidR="00EB4B89">
              <w:rPr>
                <w:lang w:val="sr-Cyrl-RS"/>
              </w:rPr>
              <w:t xml:space="preserve"> </w:t>
            </w:r>
            <w:r>
              <w:t>образовање и културна репродукција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Друштвена криза и образовање у Србији: ген</w:t>
            </w:r>
            <w:r w:rsidR="00CC62C2">
              <w:rPr>
                <w:lang w:val="sr-Cyrl-RS"/>
              </w:rPr>
              <w:t>е</w:t>
            </w:r>
            <w:r>
              <w:t>рација у протесту, „одлив мозгова“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Механизми с</w:t>
            </w:r>
            <w:r w:rsidR="00646C38">
              <w:t>оцијалне селекције у образовању</w:t>
            </w:r>
            <w:r>
              <w:t xml:space="preserve">  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 xml:space="preserve">Социјална селекција у образовању, социјална </w:t>
            </w:r>
            <w:r w:rsidR="00646C38">
              <w:t>искљученост</w:t>
            </w:r>
          </w:p>
          <w:p w:rsidR="003411FF" w:rsidRDefault="00646C38">
            <w:pPr>
              <w:pStyle w:val="Normal1"/>
              <w:numPr>
                <w:ilvl w:val="0"/>
                <w:numId w:val="2"/>
              </w:numPr>
            </w:pPr>
            <w:r>
              <w:t>Сиромаштво и мерење сиромаштва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Сиромаштво, дру</w:t>
            </w:r>
            <w:r w:rsidR="00646C38">
              <w:t>штвена искљученост и образовање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Малолетн</w:t>
            </w:r>
            <w:r w:rsidR="00CC62C2">
              <w:t>ичка девијација и делинквенција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Ф</w:t>
            </w:r>
            <w:r w:rsidR="00646C38">
              <w:t>актори делинквентног понашања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Проб</w:t>
            </w:r>
            <w:r w:rsidR="00CC62C2">
              <w:t>леми у образовању деце из социо</w:t>
            </w:r>
            <w:r>
              <w:t>маргиналних друштвених група</w:t>
            </w:r>
            <w:r w:rsidR="00646C38">
              <w:rPr>
                <w:lang w:val="sr-Cyrl-RS"/>
              </w:rPr>
              <w:t xml:space="preserve">; </w:t>
            </w:r>
            <w:r>
              <w:t>етничке групе, мигранти,</w:t>
            </w:r>
            <w:r w:rsidR="00646C38">
              <w:t xml:space="preserve"> избеглице, азиланти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Мере против школског насиља, Досије у</w:t>
            </w:r>
            <w:r w:rsidR="00CC62C2">
              <w:rPr>
                <w:lang w:val="sr-Cyrl-RS"/>
              </w:rPr>
              <w:t>ч</w:t>
            </w:r>
            <w:r w:rsidR="00646C38">
              <w:t>еника, Педагошки профил</w:t>
            </w:r>
          </w:p>
          <w:p w:rsidR="003411FF" w:rsidRDefault="00235B50">
            <w:pPr>
              <w:pStyle w:val="Normal1"/>
              <w:numPr>
                <w:ilvl w:val="0"/>
                <w:numId w:val="2"/>
              </w:numPr>
            </w:pPr>
            <w:r>
              <w:t>Рад са даровитом децом и рад са децом са посебним потребама; инклузивно образовање, израда ИОП-а;</w:t>
            </w:r>
          </w:p>
          <w:p w:rsidR="003411FF" w:rsidRDefault="0004135B">
            <w:pPr>
              <w:pStyle w:val="Normal1"/>
              <w:numPr>
                <w:ilvl w:val="0"/>
                <w:numId w:val="2"/>
              </w:numPr>
            </w:pPr>
            <w:r>
              <w:t>П</w:t>
            </w:r>
            <w:bookmarkStart w:id="0" w:name="_GoBack"/>
            <w:bookmarkEnd w:id="0"/>
            <w:r w:rsidR="00235B50">
              <w:t>рограм рада стручних сарадника у основној и средњој школи; стручно усавршавање наставника (ПЛСУ)</w:t>
            </w:r>
          </w:p>
          <w:p w:rsidR="003411FF" w:rsidRDefault="003411FF">
            <w:pPr>
              <w:pStyle w:val="Normal1"/>
              <w:tabs>
                <w:tab w:val="center" w:pos="4320"/>
                <w:tab w:val="right" w:pos="8640"/>
              </w:tabs>
              <w:ind w:left="360"/>
            </w:pPr>
          </w:p>
          <w:p w:rsidR="003411FF" w:rsidRDefault="00235B50">
            <w:pPr>
              <w:pStyle w:val="Normal1"/>
              <w:tabs>
                <w:tab w:val="center" w:pos="4320"/>
                <w:tab w:val="right" w:pos="8640"/>
              </w:tabs>
            </w:pPr>
            <w:r>
              <w:rPr>
                <w:i/>
              </w:rPr>
              <w:t>Практична настава: вежбе</w:t>
            </w:r>
          </w:p>
          <w:p w:rsidR="003411FF" w:rsidRDefault="00235B50" w:rsidP="00CC62C2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t>Вежбе прате предавања и активно учешће студената. Изводе се у виду анализе изворног текста, дискусија, као и индивидуалних и групних презентација студената о питањима образовања и социјалне селекције.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lastRenderedPageBreak/>
              <w:t xml:space="preserve">Литература </w:t>
            </w:r>
          </w:p>
          <w:p w:rsidR="003411FF" w:rsidRDefault="00235B50">
            <w:pPr>
              <w:pStyle w:val="Normal1"/>
              <w:widowControl/>
              <w:numPr>
                <w:ilvl w:val="0"/>
                <w:numId w:val="3"/>
              </w:numPr>
              <w:ind w:left="333" w:hanging="333"/>
              <w:jc w:val="both"/>
            </w:pPr>
            <w:r>
              <w:t xml:space="preserve">Коковић, Драган (2009) </w:t>
            </w:r>
            <w:r>
              <w:rPr>
                <w:i/>
              </w:rPr>
              <w:t xml:space="preserve">Друштво и образовни капитал. </w:t>
            </w:r>
            <w:r>
              <w:t>Нови Сад: Медитеран. Стр. 67-98</w:t>
            </w:r>
          </w:p>
          <w:p w:rsidR="003411FF" w:rsidRDefault="00235B50">
            <w:pPr>
              <w:pStyle w:val="Normal1"/>
              <w:widowControl/>
              <w:numPr>
                <w:ilvl w:val="0"/>
                <w:numId w:val="3"/>
              </w:numPr>
              <w:ind w:left="333" w:hanging="333"/>
              <w:jc w:val="both"/>
            </w:pPr>
            <w:r>
              <w:t xml:space="preserve">Јовановић, Наталија (2017) </w:t>
            </w:r>
            <w:r>
              <w:rPr>
                <w:i/>
              </w:rPr>
              <w:t xml:space="preserve">Социјални рад у школи. </w:t>
            </w:r>
            <w:r>
              <w:t xml:space="preserve">Стр. 66-137 </w:t>
            </w:r>
          </w:p>
          <w:p w:rsidR="003411FF" w:rsidRDefault="00235B50">
            <w:pPr>
              <w:pStyle w:val="Normal1"/>
              <w:widowControl/>
              <w:numPr>
                <w:ilvl w:val="0"/>
                <w:numId w:val="3"/>
              </w:numPr>
              <w:ind w:left="333" w:hanging="333"/>
              <w:jc w:val="both"/>
            </w:pPr>
            <w:r>
              <w:t xml:space="preserve">Антони, Гидинс (2007) </w:t>
            </w:r>
            <w:r>
              <w:rPr>
                <w:i/>
              </w:rPr>
              <w:t xml:space="preserve">Социологија. </w:t>
            </w:r>
            <w:r>
              <w:t>Загреб: Глобус. Стр. 210-344: 494-535.</w:t>
            </w:r>
          </w:p>
          <w:p w:rsidR="003411FF" w:rsidRDefault="00235B50">
            <w:pPr>
              <w:pStyle w:val="Normal1"/>
              <w:widowControl/>
              <w:numPr>
                <w:ilvl w:val="0"/>
                <w:numId w:val="3"/>
              </w:numPr>
              <w:ind w:left="333" w:hanging="333"/>
              <w:jc w:val="both"/>
            </w:pPr>
            <w:r>
              <w:t xml:space="preserve">Попадић, Драган, Дијана Плут и Зоран, Павловић (2014) </w:t>
            </w:r>
            <w:r w:rsidR="00CC62C2">
              <w:rPr>
                <w:i/>
              </w:rPr>
              <w:t>Насиље у школама.Србије</w:t>
            </w:r>
            <w:r w:rsidR="00CC62C2">
              <w:rPr>
                <w:i/>
                <w:lang w:val="sr-Cyrl-RS"/>
              </w:rPr>
              <w:t>.</w:t>
            </w:r>
            <w:r>
              <w:rPr>
                <w:i/>
              </w:rPr>
              <w:t xml:space="preserve"> </w:t>
            </w:r>
            <w:r>
              <w:t>Београд: Институт за психологију. Стр. 23-38; 88-100.</w:t>
            </w:r>
          </w:p>
          <w:p w:rsidR="003411FF" w:rsidRDefault="00CC62C2">
            <w:pPr>
              <w:pStyle w:val="Normal1"/>
              <w:widowControl/>
              <w:numPr>
                <w:ilvl w:val="0"/>
                <w:numId w:val="3"/>
              </w:numPr>
              <w:ind w:left="333" w:hanging="333"/>
              <w:jc w:val="both"/>
            </w:pPr>
            <w:r>
              <w:t>(2010) Праћење социјал</w:t>
            </w:r>
            <w:r w:rsidR="00235B50">
              <w:t>не укључености у Србији – преглед и тренутно стање социјалне укључености у Србији на основу праћења европских и националних показатеља. Тим за социјално укључивање и смањење сиромаштва и Републички завод за стат</w:t>
            </w:r>
            <w:r>
              <w:t>истику, Влада Републике Србије</w:t>
            </w:r>
            <w:r>
              <w:rPr>
                <w:lang w:val="sr-Cyrl-RS"/>
              </w:rPr>
              <w:t xml:space="preserve">, </w:t>
            </w:r>
            <w:r w:rsidR="00235B50">
              <w:t xml:space="preserve">Београд. Стр. 6-13, 37-45. </w:t>
            </w:r>
          </w:p>
          <w:p w:rsidR="003411FF" w:rsidRPr="00CC62C2" w:rsidRDefault="00235B50">
            <w:pPr>
              <w:pStyle w:val="Normal1"/>
              <w:widowControl/>
              <w:numPr>
                <w:ilvl w:val="0"/>
                <w:numId w:val="3"/>
              </w:numPr>
              <w:ind w:left="360"/>
              <w:jc w:val="both"/>
            </w:pPr>
            <w:r>
              <w:t xml:space="preserve">Правилник о програму свих облика рада стручних сарадника. </w:t>
            </w:r>
            <w:hyperlink r:id="rId11">
              <w:r>
                <w:rPr>
                  <w:color w:val="0000FF"/>
                  <w:u w:val="single"/>
                </w:rPr>
                <w:t>www.mpn</w:t>
              </w:r>
            </w:hyperlink>
          </w:p>
          <w:p w:rsidR="00CC62C2" w:rsidRDefault="00CC62C2" w:rsidP="00CC62C2">
            <w:pPr>
              <w:pStyle w:val="Normal1"/>
              <w:widowControl/>
              <w:ind w:left="360"/>
              <w:jc w:val="both"/>
            </w:pP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</w:t>
            </w:r>
            <w:r>
              <w:t>2</w:t>
            </w:r>
          </w:p>
        </w:tc>
        <w:tc>
          <w:tcPr>
            <w:tcW w:w="3822" w:type="dxa"/>
            <w:gridSpan w:val="2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</w:t>
            </w:r>
            <w:r>
              <w:t>2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3411FF" w:rsidRDefault="0004135B" w:rsidP="0004135B">
            <w:pPr>
              <w:pStyle w:val="Normal1"/>
              <w:tabs>
                <w:tab w:val="left" w:pos="567"/>
              </w:tabs>
              <w:spacing w:after="60"/>
              <w:jc w:val="both"/>
            </w:pPr>
            <w:r>
              <w:rPr>
                <w:lang w:val="sr-Cyrl-RS"/>
              </w:rPr>
              <w:t>В</w:t>
            </w:r>
            <w:r w:rsidR="00235B50">
              <w:t>ербалне методе (монолошка, дијалошка, метода дискусије), текстовна метода, метода илустрације и метода демонстрације.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  <w:rPr>
                <w:b/>
                <w:lang w:val="sr-Cyrl-RS"/>
              </w:rPr>
            </w:pPr>
            <w:r>
              <w:rPr>
                <w:b/>
              </w:rPr>
              <w:t>Оцена знања (максимални број поена 100)</w:t>
            </w:r>
          </w:p>
          <w:p w:rsidR="00CC62C2" w:rsidRPr="00CC62C2" w:rsidRDefault="00CC62C2">
            <w:pPr>
              <w:pStyle w:val="Normal1"/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60</w:t>
            </w: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учешће у дискусији + излагање на часу</w:t>
            </w:r>
          </w:p>
        </w:tc>
        <w:tc>
          <w:tcPr>
            <w:tcW w:w="1960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усмени исп</w:t>
            </w:r>
            <w:r w:rsidR="00ED1A49">
              <w:t>и</w:t>
            </w:r>
            <w:r>
              <w:t>т</w:t>
            </w:r>
          </w:p>
        </w:tc>
        <w:tc>
          <w:tcPr>
            <w:tcW w:w="1774" w:type="dxa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</w:tr>
      <w:tr w:rsidR="003411FF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3411FF" w:rsidRDefault="00235B50">
            <w:pPr>
              <w:pStyle w:val="Normal1"/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3411FF" w:rsidRDefault="003411FF">
            <w:pPr>
              <w:pStyle w:val="Normal1"/>
              <w:tabs>
                <w:tab w:val="left" w:pos="567"/>
              </w:tabs>
              <w:spacing w:after="60"/>
            </w:pPr>
          </w:p>
        </w:tc>
      </w:tr>
    </w:tbl>
    <w:p w:rsidR="003411FF" w:rsidRDefault="003411FF">
      <w:pPr>
        <w:pStyle w:val="Normal1"/>
        <w:jc w:val="center"/>
      </w:pPr>
    </w:p>
    <w:sectPr w:rsidR="003411FF" w:rsidSect="003411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96" w:rsidRDefault="00366F96" w:rsidP="003411FF">
      <w:r>
        <w:separator/>
      </w:r>
    </w:p>
  </w:endnote>
  <w:endnote w:type="continuationSeparator" w:id="0">
    <w:p w:rsidR="00366F96" w:rsidRDefault="00366F96" w:rsidP="0034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FF" w:rsidRDefault="003411F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FF" w:rsidRDefault="00235B50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FF" w:rsidRDefault="003411F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96" w:rsidRDefault="00366F96" w:rsidP="003411FF">
      <w:r>
        <w:separator/>
      </w:r>
    </w:p>
  </w:footnote>
  <w:footnote w:type="continuationSeparator" w:id="0">
    <w:p w:rsidR="00366F96" w:rsidRDefault="00366F96" w:rsidP="00341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FF" w:rsidRDefault="003411F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A49" w:rsidRDefault="00235B50" w:rsidP="00ED1A4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  <w:r>
      <w:rPr>
        <w:color w:val="000000"/>
      </w:rPr>
      <w:t xml:space="preserve">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FF" w:rsidRDefault="003411F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B16"/>
    <w:multiLevelType w:val="multilevel"/>
    <w:tmpl w:val="89F4B7D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>
    <w:nsid w:val="4D4F172F"/>
    <w:multiLevelType w:val="multilevel"/>
    <w:tmpl w:val="7BA290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531C1E9F"/>
    <w:multiLevelType w:val="multilevel"/>
    <w:tmpl w:val="D6B2156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FF"/>
    <w:rsid w:val="0004135B"/>
    <w:rsid w:val="000E5217"/>
    <w:rsid w:val="001822D4"/>
    <w:rsid w:val="00235B50"/>
    <w:rsid w:val="00327A09"/>
    <w:rsid w:val="003411FF"/>
    <w:rsid w:val="00366F96"/>
    <w:rsid w:val="006308C8"/>
    <w:rsid w:val="00646C38"/>
    <w:rsid w:val="0079747E"/>
    <w:rsid w:val="00CC62C2"/>
    <w:rsid w:val="00D367D2"/>
    <w:rsid w:val="00E16A30"/>
    <w:rsid w:val="00EB4B89"/>
    <w:rsid w:val="00ED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411FF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3411F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3411F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3411F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3411F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3411FF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411FF"/>
  </w:style>
  <w:style w:type="paragraph" w:styleId="Title">
    <w:name w:val="Title"/>
    <w:basedOn w:val="Normal1"/>
    <w:next w:val="Normal1"/>
    <w:rsid w:val="003411F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3411F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411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3411F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1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A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D1A49"/>
    <w:pPr>
      <w:tabs>
        <w:tab w:val="center" w:pos="4320"/>
        <w:tab w:val="right" w:pos="8640"/>
      </w:tabs>
      <w:autoSpaceDE w:val="0"/>
      <w:autoSpaceDN w:val="0"/>
      <w:adjustRightInd w:val="0"/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ED1A49"/>
    <w:rPr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pn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79D5C-8490-4D8D-8ADD-19BD332D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11</cp:revision>
  <dcterms:created xsi:type="dcterms:W3CDTF">2022-03-31T21:38:00Z</dcterms:created>
  <dcterms:modified xsi:type="dcterms:W3CDTF">2022-04-14T14:17:00Z</dcterms:modified>
</cp:coreProperties>
</file>